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92FFB">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343CBE">
        <w:rPr>
          <w:rFonts w:ascii="Palatino Linotype" w:hAnsi="Palatino Linotype" w:cs="Arial"/>
          <w:b/>
          <w:bCs/>
        </w:rPr>
        <w:t>4594</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92FFB">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343CBE">
        <w:rPr>
          <w:rFonts w:ascii="Palatino Linotype" w:hAnsi="Palatino Linotype" w:cs="Arial"/>
          <w:b/>
          <w:bCs/>
        </w:rPr>
        <w:t>594/</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343CBE">
        <w:rPr>
          <w:rFonts w:ascii="Palatino Linotype" w:hAnsi="Palatino Linotype" w:cs="Arial"/>
          <w:b/>
        </w:rPr>
        <w:t>JAVIER MARTÍNEZ CRUZ</w:t>
      </w:r>
      <w:r w:rsidR="00E92479"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992FFB">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F332D0" w:rsidRDefault="00F332D0" w:rsidP="00992FFB">
      <w:pPr>
        <w:spacing w:before="100" w:beforeAutospacing="1" w:after="100" w:afterAutospacing="1" w:line="360" w:lineRule="auto"/>
        <w:jc w:val="both"/>
        <w:rPr>
          <w:rFonts w:ascii="Palatino Linotype" w:hAnsi="Palatino Linotype"/>
        </w:rPr>
      </w:pPr>
      <w:r>
        <w:rPr>
          <w:rFonts w:ascii="Palatino Linotype" w:hAnsi="Palatino Linotype"/>
        </w:rPr>
        <w:t xml:space="preserve">Tal y como quedó plasmado en los resultandos de la resolución materia del presente voto, la particular requirió del Sistema </w:t>
      </w:r>
      <w:r w:rsidRPr="001543BD">
        <w:rPr>
          <w:rFonts w:ascii="Palatino Linotype" w:hAnsi="Palatino Linotype"/>
        </w:rPr>
        <w:t>Municipal Para el Desarrollo Integral de la Familia de Zinacantepec</w:t>
      </w:r>
      <w:r>
        <w:rPr>
          <w:rFonts w:ascii="Palatino Linotype" w:hAnsi="Palatino Linotype"/>
        </w:rPr>
        <w:t xml:space="preserve">, en lo sucesivo </w:t>
      </w:r>
      <w:r w:rsidRPr="001543BD">
        <w:rPr>
          <w:rFonts w:ascii="Palatino Linotype" w:hAnsi="Palatino Linotype"/>
          <w:b/>
        </w:rPr>
        <w:t>EL SUJETO OBLIGADO</w:t>
      </w:r>
      <w:r>
        <w:rPr>
          <w:rFonts w:ascii="Palatino Linotype" w:hAnsi="Palatino Linotype"/>
        </w:rPr>
        <w:t xml:space="preserve">, </w:t>
      </w:r>
      <w:r w:rsidRPr="001543BD">
        <w:rPr>
          <w:rFonts w:ascii="Palatino Linotype" w:hAnsi="Palatino Linotype"/>
        </w:rPr>
        <w:t xml:space="preserve">todos los </w:t>
      </w:r>
      <w:r w:rsidRPr="001543BD">
        <w:rPr>
          <w:rFonts w:ascii="Palatino Linotype" w:hAnsi="Palatino Linotype"/>
        </w:rPr>
        <w:lastRenderedPageBreak/>
        <w:t>nombramientos aprobados por la Junta de Gobierno; así como, sus respectivas actas; los documentos que acrediten el grado de Maestría del entonces Secretario y copia de todas las certificaciones firmadas como Secretario de la Junta de Gobierno que autorizó, dio fe o hizo constar durante su encargo.</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 xml:space="preserve">Al respecto, </w:t>
      </w:r>
      <w:r w:rsidRPr="00F84902">
        <w:rPr>
          <w:rFonts w:ascii="Palatino Linotype" w:hAnsi="Palatino Linotype"/>
          <w:b/>
        </w:rPr>
        <w:t>EL</w:t>
      </w:r>
      <w:r w:rsidRPr="00F84902">
        <w:rPr>
          <w:rFonts w:ascii="Palatino Linotype" w:hAnsi="Palatino Linotype"/>
        </w:rPr>
        <w:t xml:space="preserve"> </w:t>
      </w:r>
      <w:r w:rsidRPr="00F84902">
        <w:rPr>
          <w:rFonts w:ascii="Palatino Linotype" w:hAnsi="Palatino Linotype"/>
          <w:b/>
        </w:rPr>
        <w:t>SUJETO OBLIGADO</w:t>
      </w:r>
      <w:r w:rsidRPr="00F84902">
        <w:rPr>
          <w:rFonts w:ascii="Palatino Linotype" w:hAnsi="Palatino Linotype"/>
        </w:rPr>
        <w:t xml:space="preserve"> remitió a la particular 11 actas en las cuales se destacan los nombramientos de múltiples servidores públicos; la constancia de evaluación de examen para titulación a nivel maestría, certificado de estudios y diploma de estudios del Director del </w:t>
      </w:r>
      <w:r w:rsidRPr="00F84902">
        <w:rPr>
          <w:rFonts w:ascii="Palatino Linotype" w:hAnsi="Palatino Linotype"/>
          <w:b/>
        </w:rPr>
        <w:t>SUJETO OBLIGADO</w:t>
      </w:r>
      <w:r w:rsidRPr="00F84902">
        <w:rPr>
          <w:rFonts w:ascii="Palatino Linotype" w:hAnsi="Palatino Linotype"/>
        </w:rPr>
        <w:t>; asimismo, manifestó que no contaba con acuses de las certificaciones firm</w:t>
      </w:r>
      <w:r w:rsidR="00085DC0">
        <w:rPr>
          <w:rFonts w:ascii="Palatino Linotype" w:hAnsi="Palatino Linotype"/>
        </w:rPr>
        <w:t>adas como secretario de la Junta</w:t>
      </w:r>
      <w:r w:rsidRPr="00F84902">
        <w:rPr>
          <w:rFonts w:ascii="Palatino Linotype" w:hAnsi="Palatino Linotype"/>
        </w:rPr>
        <w:t xml:space="preserve"> de Gobierno.</w:t>
      </w:r>
    </w:p>
    <w:p w:rsidR="00F332D0" w:rsidRPr="00F84902" w:rsidRDefault="00F332D0" w:rsidP="00992FFB">
      <w:pPr>
        <w:spacing w:before="100" w:beforeAutospacing="1" w:after="100" w:afterAutospacing="1" w:line="360" w:lineRule="auto"/>
        <w:jc w:val="both"/>
        <w:rPr>
          <w:rFonts w:ascii="Palatino Linotype" w:eastAsia="Calibri" w:hAnsi="Palatino Linotype"/>
        </w:rPr>
      </w:pPr>
      <w:r w:rsidRPr="00F84902">
        <w:rPr>
          <w:rFonts w:ascii="Palatino Linotype" w:eastAsia="Calibri" w:hAnsi="Palatino Linotype"/>
        </w:rPr>
        <w:t xml:space="preserve">Inconforme con dicha respuesta, la hoy </w:t>
      </w:r>
      <w:r w:rsidRPr="00F84902">
        <w:rPr>
          <w:rFonts w:ascii="Palatino Linotype" w:eastAsia="Calibri" w:hAnsi="Palatino Linotype"/>
          <w:b/>
        </w:rPr>
        <w:t>RECURRENTE</w:t>
      </w:r>
      <w:r w:rsidRPr="00F84902">
        <w:rPr>
          <w:rFonts w:ascii="Palatino Linotype" w:eastAsia="Calibri" w:hAnsi="Palatino Linotype"/>
        </w:rPr>
        <w:t xml:space="preserve"> interpuso el medio de defensa de mérito, en el cual argumentó que la información remitida resultaba incompleta ya que sólo le fueron remitidas las actas, más no los nombramientos de los servidores públicos y aseguró que no era posible que no </w:t>
      </w:r>
      <w:r w:rsidR="00085DC0">
        <w:rPr>
          <w:rFonts w:ascii="Palatino Linotype" w:eastAsia="Calibri" w:hAnsi="Palatino Linotype"/>
        </w:rPr>
        <w:t>se tuvieran</w:t>
      </w:r>
      <w:r w:rsidRPr="00F84902">
        <w:rPr>
          <w:rFonts w:ascii="Palatino Linotype" w:eastAsia="Calibri" w:hAnsi="Palatino Linotype"/>
        </w:rPr>
        <w:t xml:space="preserve"> los acuses de las certificaciones.</w:t>
      </w:r>
    </w:p>
    <w:p w:rsidR="00F332D0" w:rsidRDefault="00F332D0" w:rsidP="00992FFB">
      <w:pPr>
        <w:spacing w:before="100" w:beforeAutospacing="1" w:after="100" w:afterAutospacing="1" w:line="360" w:lineRule="auto"/>
        <w:jc w:val="both"/>
        <w:rPr>
          <w:rFonts w:ascii="Palatino Linotype" w:eastAsia="Calibri" w:hAnsi="Palatino Linotype"/>
          <w:color w:val="000000"/>
        </w:rPr>
      </w:pPr>
      <w:r w:rsidRPr="00F84902">
        <w:rPr>
          <w:rFonts w:ascii="Palatino Linotype" w:eastAsia="Calibri" w:hAnsi="Palatino Linotype"/>
        </w:rPr>
        <w:t xml:space="preserve">Posteriormente, </w:t>
      </w:r>
      <w:r w:rsidRPr="00F84902">
        <w:rPr>
          <w:rFonts w:ascii="Palatino Linotype" w:eastAsia="Calibri" w:hAnsi="Palatino Linotype"/>
          <w:b/>
        </w:rPr>
        <w:t>EL SUJETO OBLIGADO</w:t>
      </w:r>
      <w:r w:rsidRPr="00F84902">
        <w:rPr>
          <w:rFonts w:ascii="Palatino Linotype" w:eastAsia="Calibri" w:hAnsi="Palatino Linotype"/>
        </w:rPr>
        <w:t xml:space="preserve"> rindió su Informe Justificado, en el cual reiteró su respuesta y, además, manifestó </w:t>
      </w:r>
      <w:r w:rsidRPr="00F84902">
        <w:rPr>
          <w:rFonts w:ascii="Palatino Linotype" w:eastAsia="Calibri" w:hAnsi="Palatino Linotype"/>
          <w:color w:val="000000"/>
          <w:lang w:eastAsia="en-US"/>
        </w:rPr>
        <w:t>que no obr</w:t>
      </w:r>
      <w:r w:rsidR="00085DC0">
        <w:rPr>
          <w:rFonts w:ascii="Palatino Linotype" w:eastAsia="Calibri" w:hAnsi="Palatino Linotype"/>
          <w:color w:val="000000"/>
          <w:lang w:eastAsia="en-US"/>
        </w:rPr>
        <w:t>ab</w:t>
      </w:r>
      <w:r w:rsidRPr="00F84902">
        <w:rPr>
          <w:rFonts w:ascii="Palatino Linotype" w:eastAsia="Calibri" w:hAnsi="Palatino Linotype"/>
          <w:color w:val="000000"/>
          <w:lang w:eastAsia="en-US"/>
        </w:rPr>
        <w:t>a en sus archivos info</w:t>
      </w:r>
      <w:r w:rsidRPr="00F84902">
        <w:rPr>
          <w:rFonts w:ascii="Palatino Linotype" w:eastAsia="Calibri" w:hAnsi="Palatino Linotype"/>
          <w:color w:val="000000"/>
        </w:rPr>
        <w:t>rmación del entonces secretario;</w:t>
      </w:r>
      <w:r w:rsidRPr="00F84902">
        <w:rPr>
          <w:rFonts w:ascii="Palatino Linotype" w:eastAsia="Calibri" w:hAnsi="Palatino Linotype"/>
          <w:color w:val="000000"/>
          <w:lang w:eastAsia="en-US"/>
        </w:rPr>
        <w:t xml:space="preserve"> por lo que</w:t>
      </w:r>
      <w:r w:rsidRPr="00F84902">
        <w:rPr>
          <w:rFonts w:ascii="Palatino Linotype" w:eastAsia="Calibri" w:hAnsi="Palatino Linotype"/>
          <w:color w:val="000000"/>
        </w:rPr>
        <w:t>,</w:t>
      </w:r>
      <w:r w:rsidRPr="00F84902">
        <w:rPr>
          <w:rFonts w:ascii="Palatino Linotype" w:eastAsia="Calibri" w:hAnsi="Palatino Linotype"/>
          <w:color w:val="000000"/>
          <w:lang w:eastAsia="en-US"/>
        </w:rPr>
        <w:t xml:space="preserve"> no se p</w:t>
      </w:r>
      <w:r w:rsidRPr="00F84902">
        <w:rPr>
          <w:rFonts w:ascii="Palatino Linotype" w:eastAsia="Calibri" w:hAnsi="Palatino Linotype"/>
          <w:color w:val="000000"/>
        </w:rPr>
        <w:t>odía acceder a la información.</w:t>
      </w:r>
    </w:p>
    <w:p w:rsidR="00F332D0" w:rsidRPr="00F84902" w:rsidRDefault="00F332D0" w:rsidP="00992FFB">
      <w:pPr>
        <w:spacing w:before="100" w:beforeAutospacing="1" w:after="100" w:afterAutospacing="1" w:line="360" w:lineRule="auto"/>
        <w:jc w:val="both"/>
        <w:rPr>
          <w:rFonts w:ascii="Palatino Linotype" w:eastAsia="Calibri" w:hAnsi="Palatino Linotype"/>
          <w:lang w:eastAsia="en-US"/>
        </w:rPr>
      </w:pPr>
      <w:r>
        <w:rPr>
          <w:rFonts w:ascii="Palatino Linotype" w:eastAsia="Calibri" w:hAnsi="Palatino Linotype"/>
          <w:color w:val="000000"/>
        </w:rPr>
        <w:lastRenderedPageBreak/>
        <w:t xml:space="preserve">Se destaca que el Informe Justificado se puso a disposición de la </w:t>
      </w:r>
      <w:r w:rsidRPr="00F84902">
        <w:rPr>
          <w:rFonts w:ascii="Palatino Linotype" w:eastAsia="Calibri" w:hAnsi="Palatino Linotype"/>
          <w:b/>
          <w:color w:val="000000"/>
        </w:rPr>
        <w:t>RECURRENTE</w:t>
      </w:r>
      <w:r>
        <w:rPr>
          <w:rFonts w:ascii="Palatino Linotype" w:eastAsia="Calibri" w:hAnsi="Palatino Linotype"/>
          <w:color w:val="000000"/>
        </w:rPr>
        <w:t xml:space="preserve"> para que manifestara lo que a su derecho conviniera sin que dicha circunstancia sucediera. Lo anterior, en términos del artículo 185, fracción III de la Ley Sustantiva.</w:t>
      </w:r>
    </w:p>
    <w:p w:rsidR="00F332D0" w:rsidRDefault="00F332D0" w:rsidP="00992FFB">
      <w:pPr>
        <w:spacing w:before="100" w:beforeAutospacing="1" w:after="100" w:afterAutospacing="1" w:line="360" w:lineRule="auto"/>
        <w:jc w:val="both"/>
        <w:rPr>
          <w:rFonts w:ascii="Palatino Linotype" w:hAnsi="Palatino Linotype"/>
        </w:rPr>
      </w:pPr>
      <w:r>
        <w:rPr>
          <w:rFonts w:ascii="Palatino Linotype" w:hAnsi="Palatino Linotype"/>
        </w:rPr>
        <w:t xml:space="preserve">Bajo ese contexto, la Ponencia Resolutora, previo análisis del fondo del asunto, estimó que las razones o motivos de inconformidad hechos valer por </w:t>
      </w:r>
      <w:r w:rsidRPr="00F84902">
        <w:rPr>
          <w:rFonts w:ascii="Palatino Linotype" w:hAnsi="Palatino Linotype"/>
          <w:b/>
        </w:rPr>
        <w:t>LA RECURRENTE</w:t>
      </w:r>
      <w:r>
        <w:rPr>
          <w:rFonts w:ascii="Palatino Linotype" w:hAnsi="Palatino Linotype"/>
        </w:rPr>
        <w:t xml:space="preserve"> debían parcialmente fundadas y ordenó al </w:t>
      </w:r>
      <w:r w:rsidRPr="00F84902">
        <w:rPr>
          <w:rFonts w:ascii="Palatino Linotype" w:hAnsi="Palatino Linotype"/>
          <w:b/>
        </w:rPr>
        <w:t>SUJETO OBLIGADO</w:t>
      </w:r>
      <w:r>
        <w:rPr>
          <w:rFonts w:ascii="Palatino Linotype" w:hAnsi="Palatino Linotype"/>
        </w:rPr>
        <w:t xml:space="preserve"> la entrega de los nombramientos de los servidores públicos, mencionados en las actas de la Junta de Gobierno y la Constancia de evaluación para titulación a nivel maestría, el certificado de estudios y el diploma de estudios del Director, en versión pública.</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 xml:space="preserve">En ese sentido, la suscrita reitera que si bien coincide, en términos generales con el sentido de la resolución en comento, estimo necesario precisar que por cuanto hace al pronunciamiento por parte de la Ponencia Resolutora relativo a que para la elaboración de la versión pública que realice </w:t>
      </w:r>
      <w:r w:rsidRPr="00F84902">
        <w:rPr>
          <w:rFonts w:ascii="Palatino Linotype" w:hAnsi="Palatino Linotype"/>
          <w:b/>
        </w:rPr>
        <w:t>EL SUJETO OBLIGADO</w:t>
      </w:r>
      <w:r w:rsidRPr="00F84902">
        <w:rPr>
          <w:rFonts w:ascii="Palatino Linotype" w:hAnsi="Palatino Linotype"/>
        </w:rPr>
        <w:t xml:space="preserve"> respecto de </w:t>
      </w:r>
      <w:r>
        <w:rPr>
          <w:rFonts w:ascii="Palatino Linotype" w:hAnsi="Palatino Linotype"/>
        </w:rPr>
        <w:t>la información del Director</w:t>
      </w:r>
      <w:r w:rsidRPr="00F84902">
        <w:rPr>
          <w:rFonts w:ascii="Palatino Linotype" w:hAnsi="Palatino Linotype"/>
        </w:rPr>
        <w:t>, este deberá testar la fotografía; pues a su criterio, las fotografías constituyen datos personales confidenciales, en términos de la Ley de Transparencia y Acceso a la Información Pública del Estado de México y Municipios; aunado a que la divulgación de las mismas no constituyen algún elemento que permita reflejar la correcta realización de la actividad que en ellas se demuestra; por lo que, no se aporta elemento alguno en beneficio de la rendición de cuentas y la transparencia.</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lastRenderedPageBreak/>
        <w:t>Sin embargo, no se comparte el pronunciamiento citado, referente a la fotografía, de conformidad con los preceptos legales siguientes:</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Pr>
          <w:rFonts w:ascii="Palatino Linotype" w:hAnsi="Palatino Linotype"/>
          <w:i/>
        </w:rPr>
        <w:t>“</w:t>
      </w:r>
      <w:r w:rsidRPr="00B541ED">
        <w:rPr>
          <w:rFonts w:ascii="Palatino Linotype" w:hAnsi="Palatino Linotype"/>
          <w:i/>
          <w:sz w:val="22"/>
        </w:rPr>
        <w:t>Constitución Política de los Estados Unidos Mexicanos</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 xml:space="preserve">Artículo 16. Nadie puede ser molestado en su persona, familia, domicilio, papeles o posesiones, sino en virtud de mandamiento escrito de la autoridad competente, que funde y motive la causa legal del procedimiento. </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Criterios Internacionales</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 xml:space="preserve">25. Derecho a la información. Principio de máxima divulgación </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La Corte Interamericana ha determinado que en una sociedad democrática es indispensable que las autoridades estatales se rijan por el principio de máxima divulgación,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r>
        <w:rPr>
          <w:rFonts w:ascii="Palatino Linotype" w:hAnsi="Palatino Linotype"/>
          <w:i/>
        </w:rPr>
        <w:t>”</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 xml:space="preserve">De la interpretación sistemática a los ordenamientos transcritos, en relación con los artículos 1, 7, 11, 12, 100, 113 y 116 de la Ley General de Transparencia y Acceso a la Información Pública y 1, 4, 7, 11, 12, 140 y 143 de la Ley de Transparencia y Acceso a la Información Pública del Estado de México y Municipios, se obtiene que todo </w:t>
      </w:r>
      <w:r w:rsidRPr="00F84902">
        <w:rPr>
          <w:rFonts w:ascii="Palatino Linotype" w:hAnsi="Palatino Linotype"/>
        </w:rPr>
        <w:lastRenderedPageBreak/>
        <w:t>documento en poder de los Sujetos Obligados son por origen públicos; empero, algunos de ellos pudiesen contener inmersos datos o información susceptible de ser clasificada, como información reservada o confidencial; entonces, la misma normatividad es la que considera excepciones al derecho de acceso a la información pública.</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 xml:space="preserve">En este sentido, es conveniente precisar que la información confidencial es aquella que se refiere a los datos personales concernientes a una persona identificada o identificable; así como, los secretos bancarios, fiduciarios, industriales, comerciales, fiscales, bursátiles y postales, cuya titularidad corresponda a particulares, sujetos de derecho internacional o a sujetos obligados, cuando no involucren el ejercicio de recursos públicos; además de que la presenten los particulares a los sujetos obligados, de conformidad con lo dispuesto por las leyes o los tratados internacionales. </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w:t>
      </w:r>
      <w:r w:rsidRPr="00F84902">
        <w:rPr>
          <w:rFonts w:ascii="Palatino Linotype" w:hAnsi="Palatino Linotype"/>
        </w:rPr>
        <w:lastRenderedPageBreak/>
        <w:t>exterior y factor imprescindible para su propio reconocimiento como sujeto individual. Sirven de referencia los preceptos legales en cita:</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 xml:space="preserve">“Artículo 3. Para los efectos de la presente Ley se entenderá por: </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IX. Datos personales: La información concerniente a una persona, identificada o identificable según lo dispuesto por la Ley de Protección de Datos Personales del Estado de México;</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Artículo 143. Para los efectos de esta Ley se considera información confidencial, la clasificada como tal, de manera permanente, por su naturaleza, cuando:</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 xml:space="preserve">I. Se refiera a la información privada y los datos personales concernientes a una persona física o </w:t>
      </w:r>
      <w:proofErr w:type="gramStart"/>
      <w:r w:rsidRPr="00B541ED">
        <w:rPr>
          <w:rFonts w:ascii="Palatino Linotype" w:hAnsi="Palatino Linotype"/>
          <w:i/>
          <w:sz w:val="22"/>
        </w:rPr>
        <w:t>jurídico</w:t>
      </w:r>
      <w:proofErr w:type="gramEnd"/>
      <w:r w:rsidRPr="00B541ED">
        <w:rPr>
          <w:rFonts w:ascii="Palatino Linotype" w:hAnsi="Palatino Linotype"/>
          <w:i/>
          <w:sz w:val="22"/>
        </w:rPr>
        <w:t xml:space="preserve"> colectiva identificada o identificable;</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Artículo 4. Para los efectos de esta Ley se entenderá por:</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F332D0" w:rsidRPr="00B541ED" w:rsidRDefault="00F332D0" w:rsidP="00992FFB">
      <w:pPr>
        <w:spacing w:before="100" w:beforeAutospacing="1" w:after="100" w:afterAutospacing="1"/>
        <w:ind w:left="851" w:right="899"/>
        <w:jc w:val="both"/>
        <w:rPr>
          <w:rFonts w:ascii="Palatino Linotype" w:hAnsi="Palatino Linotype"/>
          <w:i/>
          <w:sz w:val="22"/>
        </w:rPr>
      </w:pPr>
      <w:r w:rsidRPr="00B541ED">
        <w:rPr>
          <w:rFonts w:ascii="Palatino Linotype" w:hAnsi="Palatino Linotype"/>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w:t>
      </w:r>
      <w:r>
        <w:rPr>
          <w:rFonts w:ascii="Palatino Linotype" w:hAnsi="Palatino Linotype"/>
          <w:i/>
        </w:rPr>
        <w:t>olíticas y preferencia sexual.”</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lastRenderedPageBreak/>
        <w:t xml:space="preserve">Asimismo,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F332D0" w:rsidRPr="00F84902" w:rsidRDefault="00F332D0" w:rsidP="00992FFB">
      <w:pPr>
        <w:spacing w:before="100" w:beforeAutospacing="1" w:after="100" w:afterAutospacing="1" w:line="360" w:lineRule="auto"/>
        <w:jc w:val="both"/>
        <w:rPr>
          <w:rFonts w:ascii="Palatino Linotype" w:hAnsi="Palatino Linotype"/>
        </w:rPr>
      </w:pPr>
      <w:r w:rsidRPr="00F84902">
        <w:rPr>
          <w:rFonts w:ascii="Palatino Linotype" w:hAnsi="Palatino Linotype"/>
        </w:rPr>
        <w:t>Referente a lo anterior, es de indicar que si bien no hay algún ordenamiento del que se advierta la obligatoriedad par</w:t>
      </w:r>
      <w:r>
        <w:rPr>
          <w:rFonts w:ascii="Palatino Linotype" w:hAnsi="Palatino Linotype"/>
        </w:rPr>
        <w:t>a contar con los documentos de los que se ordena la entrega,</w:t>
      </w:r>
      <w:r w:rsidR="00992FFB">
        <w:rPr>
          <w:rFonts w:ascii="Palatino Linotype" w:hAnsi="Palatino Linotype"/>
        </w:rPr>
        <w:t xml:space="preserve"> </w:t>
      </w:r>
      <w:r w:rsidRPr="00F84902">
        <w:rPr>
          <w:rFonts w:ascii="Palatino Linotype" w:hAnsi="Palatino Linotype"/>
        </w:rPr>
        <w:t>donde conste su fotografía; en el caso que nos ocupa, al asumir la posesión de la información y proporcionarla mediante respuesta, surge la disyuntiva si la misma es de carácter público o si bien debe prevalecer la confidencialidad.</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 xml:space="preserve">Ante ello, es importante destacar que si los servidores públicos señalados, desempeñan cargos cuyas atribuciones -entre otras- son enfocadas a un rol de dirección; así como, las de brindar atención al público en general, a través de trámites generales básicos para orientar el régimen de gobierno, la organización y funcionamiento de la </w:t>
      </w:r>
      <w:r w:rsidRPr="00900AF1">
        <w:rPr>
          <w:rFonts w:ascii="Palatino Linotype" w:hAnsi="Palatino Linotype"/>
        </w:rPr>
        <w:lastRenderedPageBreak/>
        <w:t>Administración Pública Municipal, con el fin de lograr la eficiencia y eficacia en el ejercicio del poder público, que transforme el gasto público en inversión pública para la mejora de las condiciones de vida de los habitantes del Municipio; por lo que, ellos son el contacto directo entre la gestión gubernamental y la ciudadanía.</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 xml:space="preserve">Asimismo, la suscrita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aun cuando indirectamente,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documento de acceso público favorece la rendición de cuentas, al permitir a las personas conocer a sus autoridades. </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lastRenderedPageBreak/>
        <w:t>Aún más, es importante tomar en cuenta que los documentos en donde se encuentran las fotografías que se ordenan testar</w:t>
      </w:r>
      <w:r w:rsidR="00085DC0">
        <w:rPr>
          <w:rFonts w:ascii="Palatino Linotype" w:hAnsi="Palatino Linotype"/>
        </w:rPr>
        <w:t xml:space="preserve"> por la Ponencia Resolutora</w:t>
      </w:r>
      <w:r w:rsidRPr="00900AF1">
        <w:rPr>
          <w:rFonts w:ascii="Palatino Linotype" w:hAnsi="Palatino Linotype"/>
        </w:rPr>
        <w:t>, son los aquellos que acreditan</w:t>
      </w:r>
      <w:r>
        <w:rPr>
          <w:rFonts w:ascii="Palatino Linotype" w:hAnsi="Palatino Linotype"/>
        </w:rPr>
        <w:t xml:space="preserve"> </w:t>
      </w:r>
      <w:r w:rsidR="00085DC0">
        <w:rPr>
          <w:rFonts w:ascii="Palatino Linotype" w:hAnsi="Palatino Linotype"/>
        </w:rPr>
        <w:t>el</w:t>
      </w:r>
      <w:r>
        <w:rPr>
          <w:rFonts w:ascii="Palatino Linotype" w:hAnsi="Palatino Linotype"/>
        </w:rPr>
        <w:t xml:space="preserve"> nombramientos y</w:t>
      </w:r>
      <w:r w:rsidRPr="00900AF1">
        <w:rPr>
          <w:rFonts w:ascii="Palatino Linotype" w:hAnsi="Palatino Linotype"/>
        </w:rPr>
        <w:t xml:space="preserve"> el nivel de estudios de</w:t>
      </w:r>
      <w:r w:rsidR="00085DC0">
        <w:rPr>
          <w:rFonts w:ascii="Palatino Linotype" w:hAnsi="Palatino Linotype"/>
        </w:rPr>
        <w:t>l Director</w:t>
      </w:r>
      <w:r w:rsidRPr="00900AF1">
        <w:rPr>
          <w:rFonts w:ascii="Palatino Linotype" w:hAnsi="Palatino Linotype"/>
        </w:rPr>
        <w:t xml:space="preserve">; de tal suerte que el acceso a esta información permite a la ciudadanía verificar que </w:t>
      </w:r>
      <w:r w:rsidR="00085DC0">
        <w:rPr>
          <w:rFonts w:ascii="Palatino Linotype" w:hAnsi="Palatino Linotype"/>
        </w:rPr>
        <w:t>el</w:t>
      </w:r>
      <w:r w:rsidRPr="00900AF1">
        <w:rPr>
          <w:rFonts w:ascii="Palatino Linotype" w:hAnsi="Palatino Linotype"/>
        </w:rPr>
        <w:t xml:space="preserve"> servidor</w:t>
      </w:r>
      <w:r w:rsidR="00085DC0">
        <w:rPr>
          <w:rFonts w:ascii="Palatino Linotype" w:hAnsi="Palatino Linotype"/>
        </w:rPr>
        <w:t xml:space="preserve"> </w:t>
      </w:r>
      <w:r w:rsidRPr="00900AF1">
        <w:rPr>
          <w:rFonts w:ascii="Palatino Linotype" w:hAnsi="Palatino Linotype"/>
        </w:rPr>
        <w:t>público</w:t>
      </w:r>
      <w:r w:rsidR="00085DC0">
        <w:rPr>
          <w:rFonts w:ascii="Palatino Linotype" w:hAnsi="Palatino Linotype"/>
        </w:rPr>
        <w:t xml:space="preserve"> cuenta</w:t>
      </w:r>
      <w:r w:rsidRPr="00900AF1">
        <w:rPr>
          <w:rFonts w:ascii="Palatino Linotype" w:hAnsi="Palatino Linotype"/>
        </w:rPr>
        <w:t xml:space="preserve"> con</w:t>
      </w:r>
      <w:r>
        <w:rPr>
          <w:rFonts w:ascii="Palatino Linotype" w:hAnsi="Palatino Linotype"/>
        </w:rPr>
        <w:t xml:space="preserve"> las facultades correspondientes al cargo que exterioriza y</w:t>
      </w:r>
      <w:r w:rsidRPr="00900AF1">
        <w:rPr>
          <w:rFonts w:ascii="Palatino Linotype" w:hAnsi="Palatino Linotype"/>
        </w:rPr>
        <w:t xml:space="preserve"> el grado académico con el que se ostenta; así como, si su perfil profesional es idóneo para desempeñar el </w:t>
      </w:r>
      <w:r w:rsidR="00085DC0" w:rsidRPr="00900AF1">
        <w:rPr>
          <w:rFonts w:ascii="Palatino Linotype" w:hAnsi="Palatino Linotype"/>
        </w:rPr>
        <w:t>ce</w:t>
      </w:r>
      <w:r w:rsidR="00085DC0">
        <w:rPr>
          <w:rFonts w:ascii="Palatino Linotype" w:hAnsi="Palatino Linotype"/>
        </w:rPr>
        <w:t>rtificado de estudios</w:t>
      </w:r>
      <w:r w:rsidRPr="00900AF1">
        <w:rPr>
          <w:rFonts w:ascii="Palatino Linotype" w:hAnsi="Palatino Linotype"/>
        </w:rPr>
        <w:t xml:space="preserve"> que justamente su naturaleza </w:t>
      </w:r>
      <w:r w:rsidR="00085DC0">
        <w:rPr>
          <w:rFonts w:ascii="Palatino Linotype" w:hAnsi="Palatino Linotype"/>
        </w:rPr>
        <w:t>es</w:t>
      </w:r>
      <w:r w:rsidRPr="00900AF1">
        <w:rPr>
          <w:rFonts w:ascii="Palatino Linotype" w:hAnsi="Palatino Linotype"/>
        </w:rPr>
        <w:t xml:space="preserve"> ser</w:t>
      </w:r>
      <w:r w:rsidR="00085DC0">
        <w:rPr>
          <w:rFonts w:ascii="Palatino Linotype" w:hAnsi="Palatino Linotype"/>
        </w:rPr>
        <w:t xml:space="preserve"> un</w:t>
      </w:r>
      <w:r w:rsidRPr="00900AF1">
        <w:rPr>
          <w:rFonts w:ascii="Palatino Linotype" w:hAnsi="Palatino Linotype"/>
        </w:rPr>
        <w:t xml:space="preserve"> documento</w:t>
      </w:r>
      <w:r w:rsidR="00085DC0">
        <w:rPr>
          <w:rFonts w:ascii="Palatino Linotype" w:hAnsi="Palatino Linotype"/>
        </w:rPr>
        <w:t xml:space="preserve"> para acreditar que ha cursado ciertos estudios profesionales</w:t>
      </w:r>
      <w:r w:rsidRPr="00900AF1">
        <w:rPr>
          <w:rFonts w:ascii="Palatino Linotype" w:hAnsi="Palatino Linotype"/>
        </w:rPr>
        <w:t>.</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r w:rsidR="00085DC0">
        <w:rPr>
          <w:rFonts w:ascii="Palatino Linotype" w:hAnsi="Palatino Linotype"/>
        </w:rPr>
        <w:t>, como es el caso que nos ocupa al tratarse del Director</w:t>
      </w:r>
      <w:r w:rsidRPr="00900AF1">
        <w:rPr>
          <w:rFonts w:ascii="Palatino Linotype" w:hAnsi="Palatino Linotype"/>
        </w:rPr>
        <w:t>.</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“Época: Décima Época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Registro: 2002944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Instancia: Tribunales Colegiados de Circuito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lastRenderedPageBreak/>
        <w:t xml:space="preserve">Tipo de Tesis: Aislada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Fuente: Semanario Judicial de la Federación y su Gaceta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Libro XVIII, Marzo de 2013, Tomo 3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Materia(s): Constitucional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Tesis: I.4o.A.40 A (10a.)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Página: 1899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ACCESO A LA INFORMACIÓN. IMPLICACIÓN DEL PRINCIPIO DE MÁXIMA PUBLICIDAD EN EL DERECHO FUNDAMENTAL RELATIVO.</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w:t>
      </w:r>
      <w:r w:rsidRPr="00085DC0">
        <w:rPr>
          <w:rFonts w:ascii="Palatino Linotype" w:hAnsi="Palatino Linotype"/>
          <w:i/>
          <w:sz w:val="22"/>
          <w:szCs w:val="22"/>
        </w:rPr>
        <w:lastRenderedPageBreak/>
        <w:t>y justificados bajo determinadas circunstancias, se podrá clasificar como confidencial o reservada, esto es, considerarla con una calidad diversa.</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CUARTO TRIBUNAL COLEGIADO EN MATERIA ADMINISTRATIVA DEL PRIMER CIRCUITO.</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Amparo en revisión 257/2012. Ruth Corona Muñoz. 6 de diciembre de 2012. Unanimidad de votos. Ponente: Jean Claude Tron Petit. Secretaria: Mayra Susana Martínez López.</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Época: Décima Época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Registro: 2004022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Instancia: Primera Sala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Tipo de Tesis: Aislada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Fuente: Semanario Judicial de la Federación y su Gaceta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Libro XXII, Julio de 2013, Tomo 1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Materia(s): Constitucional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Tesis: 1a. CCXXIII/2013 (10a.)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Página: 562 </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LIBERTAD DE EXPRESIÓN. QUIENES ASPIRAN A UN CARGO PÚBLICO DEBEN CONSIDERARSE COMO PERSONAS PÚBLICAS Y, EN CONSECUENCIA, SOPORTAR UN MAYOR NIVEL DE INTROMISIÓN EN SU VIDA PRIVADA.</w:t>
      </w:r>
    </w:p>
    <w:p w:rsidR="00F332D0" w:rsidRPr="00085DC0" w:rsidRDefault="00F332D0" w:rsidP="00085DC0">
      <w:pPr>
        <w:spacing w:before="100" w:beforeAutospacing="1" w:after="100" w:afterAutospacing="1"/>
        <w:ind w:left="851" w:right="902"/>
        <w:jc w:val="both"/>
        <w:rPr>
          <w:rFonts w:ascii="Palatino Linotype" w:hAnsi="Palatino Linotype"/>
          <w:i/>
          <w:sz w:val="22"/>
          <w:szCs w:val="22"/>
        </w:rPr>
      </w:pPr>
      <w:r w:rsidRPr="00085DC0">
        <w:rPr>
          <w:rFonts w:ascii="Palatino Linotype" w:hAnsi="Palatino Linotype"/>
          <w:i/>
          <w:sz w:val="22"/>
          <w:szCs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w:t>
      </w:r>
      <w:r w:rsidRPr="00085DC0">
        <w:rPr>
          <w:rFonts w:ascii="Palatino Linotype" w:hAnsi="Palatino Linotype"/>
          <w:i/>
          <w:sz w:val="22"/>
          <w:szCs w:val="22"/>
        </w:rPr>
        <w:lastRenderedPageBreak/>
        <w:t>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F332D0" w:rsidRPr="00B541ED" w:rsidRDefault="00F332D0" w:rsidP="00085DC0">
      <w:pPr>
        <w:spacing w:before="100" w:beforeAutospacing="1" w:after="100" w:afterAutospacing="1"/>
        <w:ind w:left="851" w:right="902"/>
        <w:jc w:val="both"/>
        <w:rPr>
          <w:rFonts w:ascii="Palatino Linotype" w:hAnsi="Palatino Linotype"/>
          <w:i/>
          <w:sz w:val="22"/>
        </w:rPr>
      </w:pPr>
      <w:r w:rsidRPr="00085DC0">
        <w:rPr>
          <w:rFonts w:ascii="Palatino Linotype" w:hAnsi="Palatino Linotype"/>
          <w:i/>
          <w:sz w:val="22"/>
          <w:szCs w:val="22"/>
        </w:rPr>
        <w:t>Amparo directo en revisión 1013/2013. Juan Manuel Ortega de León. 12 de junio de 2013. Cinco votos. Ponente: Arturo Zaldívar Lelo de Larrea. Secretario: Javier Mijangos y González.”</w:t>
      </w:r>
    </w:p>
    <w:p w:rsidR="00F332D0" w:rsidRPr="00900AF1"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 xml:space="preserve">Por ello, la 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F332D0" w:rsidRPr="001543BD" w:rsidRDefault="00F332D0" w:rsidP="00992FFB">
      <w:pPr>
        <w:spacing w:before="100" w:beforeAutospacing="1" w:after="100" w:afterAutospacing="1" w:line="360" w:lineRule="auto"/>
        <w:jc w:val="both"/>
        <w:rPr>
          <w:rFonts w:ascii="Palatino Linotype" w:hAnsi="Palatino Linotype"/>
        </w:rPr>
      </w:pPr>
      <w:r w:rsidRPr="00900AF1">
        <w:rPr>
          <w:rFonts w:ascii="Palatino Linotype" w:hAnsi="Palatino Linotype"/>
        </w:rPr>
        <w:t xml:space="preserve">Por lo cual, se emite </w:t>
      </w:r>
      <w:r w:rsidRPr="00900AF1">
        <w:rPr>
          <w:rFonts w:ascii="Palatino Linotype" w:hAnsi="Palatino Linotype"/>
          <w:b/>
        </w:rPr>
        <w:t>VOTO PARTICULAR</w:t>
      </w:r>
      <w:r w:rsidRPr="00900AF1">
        <w:rPr>
          <w:rFonts w:ascii="Palatino Linotype" w:hAnsi="Palatino Linotype"/>
        </w:rPr>
        <w:t xml:space="preserve"> con independencia de que se comparta el fallo, tanto en lo general como en su sentido, ya que se insiste que la Ponencia Resolutora debió pronunciarse respecto de que la entrega de la fotografía de servidores públicos depende de los cargos que ostentan, en los cuáles puede imperar la necesidad de la publicidad de la imagen de la misma, aunado a que la ciudadanía tiene derecho </w:t>
      </w:r>
      <w:r w:rsidRPr="00900AF1">
        <w:rPr>
          <w:rFonts w:ascii="Palatino Linotype" w:hAnsi="Palatino Linotype"/>
        </w:rPr>
        <w:lastRenderedPageBreak/>
        <w:t>a saber quiénes son las personas que ejercen actos de autoridad, a través del servicio público; asimismo, permite vincular el actuar y la rendición de cuentas; ello, derivado del deber de los Sujetos Obligados a transparentar sus acciones; así como, garantizar y respetar el derecho de acceso a la información pública en concordancia con lo que estipula el artículo 143 de Constitución Política del Estado Libre y Soberano de México.</w:t>
      </w:r>
    </w:p>
    <w:p w:rsidR="00051667" w:rsidRDefault="00051667" w:rsidP="00992FFB">
      <w:pPr>
        <w:spacing w:before="100" w:beforeAutospacing="1" w:after="100" w:afterAutospacing="1"/>
        <w:jc w:val="center"/>
        <w:rPr>
          <w:rFonts w:ascii="Palatino Linotype" w:hAnsi="Palatino Linotype"/>
          <w:b/>
        </w:rPr>
      </w:pPr>
    </w:p>
    <w:p w:rsidR="00F332D0" w:rsidRDefault="00F332D0" w:rsidP="00992FFB">
      <w:pPr>
        <w:spacing w:before="100" w:beforeAutospacing="1" w:after="100" w:afterAutospacing="1"/>
        <w:jc w:val="center"/>
        <w:rPr>
          <w:rFonts w:ascii="Palatino Linotype" w:hAnsi="Palatino Linotype"/>
          <w:b/>
        </w:rPr>
      </w:pPr>
    </w:p>
    <w:p w:rsidR="00631C0B" w:rsidRDefault="00631C0B" w:rsidP="00992FFB">
      <w:pPr>
        <w:spacing w:before="100" w:beforeAutospacing="1" w:after="100" w:afterAutospacing="1"/>
        <w:jc w:val="center"/>
        <w:rPr>
          <w:rFonts w:ascii="Palatino Linotype" w:hAnsi="Palatino Linotype"/>
          <w:b/>
        </w:rPr>
      </w:pPr>
    </w:p>
    <w:p w:rsidR="00631C0B" w:rsidRDefault="00631C0B" w:rsidP="00992FFB">
      <w:pPr>
        <w:spacing w:before="100" w:beforeAutospacing="1" w:after="100" w:afterAutospacing="1"/>
        <w:jc w:val="center"/>
        <w:rPr>
          <w:rFonts w:ascii="Palatino Linotype" w:hAnsi="Palatino Linotype"/>
          <w:b/>
        </w:rPr>
      </w:pPr>
    </w:p>
    <w:p w:rsidR="00631C0B" w:rsidRDefault="00631C0B" w:rsidP="00992FFB">
      <w:pPr>
        <w:spacing w:before="100" w:beforeAutospacing="1" w:after="100" w:afterAutospacing="1"/>
        <w:jc w:val="center"/>
        <w:rPr>
          <w:rFonts w:ascii="Palatino Linotype" w:hAnsi="Palatino Linotype"/>
          <w:b/>
        </w:rPr>
      </w:pPr>
    </w:p>
    <w:p w:rsidR="00631C0B" w:rsidRDefault="00631C0B" w:rsidP="00992FFB">
      <w:pPr>
        <w:spacing w:before="100" w:beforeAutospacing="1" w:after="100" w:afterAutospacing="1"/>
        <w:jc w:val="center"/>
        <w:rPr>
          <w:rFonts w:ascii="Palatino Linotype" w:hAnsi="Palatino Linotype"/>
          <w:b/>
        </w:rPr>
      </w:pPr>
    </w:p>
    <w:p w:rsidR="00631C0B" w:rsidRDefault="00631C0B" w:rsidP="00992FFB">
      <w:pPr>
        <w:spacing w:before="100" w:beforeAutospacing="1" w:after="100" w:afterAutospacing="1"/>
        <w:jc w:val="center"/>
        <w:rPr>
          <w:rFonts w:ascii="Palatino Linotype" w:hAnsi="Palatino Linotype"/>
          <w:b/>
        </w:rPr>
      </w:pPr>
    </w:p>
    <w:p w:rsidR="00630029" w:rsidRDefault="00630029" w:rsidP="00992FFB">
      <w:pPr>
        <w:spacing w:before="100" w:beforeAutospacing="1" w:after="100" w:afterAutospacing="1"/>
        <w:jc w:val="center"/>
        <w:rPr>
          <w:rFonts w:ascii="Palatino Linotype" w:hAnsi="Palatino Linotype"/>
          <w:b/>
        </w:rPr>
      </w:pPr>
    </w:p>
    <w:p w:rsidR="00630029" w:rsidRDefault="00630029" w:rsidP="00992FFB">
      <w:pPr>
        <w:spacing w:before="100" w:beforeAutospacing="1" w:after="100" w:afterAutospacing="1"/>
        <w:jc w:val="center"/>
        <w:rPr>
          <w:rFonts w:ascii="Palatino Linotype" w:hAnsi="Palatino Linotype"/>
          <w:b/>
        </w:rPr>
      </w:pPr>
    </w:p>
    <w:p w:rsidR="00670931" w:rsidRPr="00535456" w:rsidRDefault="00670931" w:rsidP="00992FFB">
      <w:pPr>
        <w:jc w:val="center"/>
        <w:rPr>
          <w:rFonts w:ascii="Palatino Linotype" w:hAnsi="Palatino Linotype"/>
          <w:b/>
        </w:rPr>
      </w:pPr>
      <w:r w:rsidRPr="00535456">
        <w:rPr>
          <w:rFonts w:ascii="Palatino Linotype" w:hAnsi="Palatino Linotype"/>
          <w:b/>
        </w:rPr>
        <w:t>EVA ABAID YAPUR</w:t>
      </w:r>
    </w:p>
    <w:p w:rsidR="00670931" w:rsidRPr="00535456" w:rsidRDefault="00670931" w:rsidP="00992FFB">
      <w:pPr>
        <w:jc w:val="center"/>
        <w:rPr>
          <w:rFonts w:ascii="Palatino Linotype" w:hAnsi="Palatino Linotype"/>
          <w:b/>
        </w:rPr>
      </w:pPr>
      <w:r w:rsidRPr="00535456">
        <w:rPr>
          <w:rFonts w:ascii="Palatino Linotype" w:hAnsi="Palatino Linotype"/>
          <w:b/>
        </w:rPr>
        <w:t>COMISIONADA</w:t>
      </w:r>
    </w:p>
    <w:p w:rsidR="00630029" w:rsidRPr="00630029" w:rsidRDefault="00630029" w:rsidP="00630029">
      <w:pPr>
        <w:jc w:val="center"/>
        <w:rPr>
          <w:rFonts w:ascii="Palatino Linotype" w:hAnsi="Palatino Linotype"/>
          <w:b/>
        </w:rPr>
      </w:pPr>
      <w:r w:rsidRPr="00630029">
        <w:rPr>
          <w:rFonts w:ascii="Palatino Linotype" w:hAnsi="Palatino Linotype"/>
          <w:b/>
        </w:rPr>
        <w:t>(RÚBRICA)</w:t>
      </w:r>
    </w:p>
    <w:p w:rsidR="00EF530D" w:rsidRDefault="00EF530D" w:rsidP="00992FFB">
      <w:pPr>
        <w:jc w:val="center"/>
        <w:rPr>
          <w:rFonts w:ascii="Palatino Linotype" w:hAnsi="Palatino Linotype"/>
          <w:b/>
        </w:rPr>
      </w:pPr>
    </w:p>
    <w:p w:rsidR="00967579" w:rsidRPr="00967579" w:rsidRDefault="00967579" w:rsidP="00992FFB">
      <w:pPr>
        <w:jc w:val="center"/>
        <w:rPr>
          <w:rFonts w:ascii="Palatino Linotype" w:hAnsi="Palatino Linotype"/>
          <w:b/>
          <w:sz w:val="16"/>
          <w:szCs w:val="16"/>
        </w:rPr>
      </w:pPr>
      <w:bookmarkStart w:id="0" w:name="_GoBack"/>
      <w:bookmarkEnd w:id="0"/>
    </w:p>
    <w:p w:rsidR="00D36CA8" w:rsidRDefault="00D05D82" w:rsidP="00992FFB">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343CBE">
        <w:rPr>
          <w:rFonts w:ascii="Palatino Linotype" w:eastAsia="Calibri" w:hAnsi="Palatino Linotype" w:cs="Arial"/>
          <w:sz w:val="20"/>
        </w:rPr>
        <w:t>04594</w:t>
      </w:r>
      <w:r w:rsidR="00670931" w:rsidRPr="00535456">
        <w:rPr>
          <w:rFonts w:ascii="Palatino Linotype" w:eastAsia="Calibri" w:hAnsi="Palatino Linotype" w:cs="Arial"/>
          <w:sz w:val="20"/>
        </w:rPr>
        <w:t>/INFOEM/IP/RR/201</w:t>
      </w:r>
      <w:r w:rsidR="00343CBE">
        <w:rPr>
          <w:rFonts w:ascii="Palatino Linotype" w:eastAsia="Calibri" w:hAnsi="Palatino Linotype" w:cs="Arial"/>
          <w:sz w:val="20"/>
        </w:rPr>
        <w:t>8</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w:t>
      </w:r>
      <w:r w:rsidR="00E92479">
        <w:rPr>
          <w:rFonts w:ascii="Palatino Linotype" w:eastAsia="Calibri" w:hAnsi="Palatino Linotype" w:cs="Arial"/>
          <w:sz w:val="20"/>
        </w:rPr>
        <w:t>isie</w:t>
      </w:r>
      <w:r w:rsidR="00F65BE7">
        <w:rPr>
          <w:rFonts w:ascii="Palatino Linotype" w:eastAsia="Calibri" w:hAnsi="Palatino Linotype" w:cs="Arial"/>
          <w:sz w:val="20"/>
        </w:rPr>
        <w:t>t</w:t>
      </w:r>
      <w:r w:rsidR="00704C25">
        <w:rPr>
          <w:rFonts w:ascii="Palatino Linotype" w:eastAsia="Calibri" w:hAnsi="Palatino Linotype" w:cs="Arial"/>
          <w:sz w:val="20"/>
        </w:rPr>
        <w: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967579" w:rsidRPr="00967579" w:rsidRDefault="00967579" w:rsidP="00992FFB">
      <w:pPr>
        <w:jc w:val="both"/>
        <w:rPr>
          <w:rFonts w:ascii="Palatino Linotype" w:eastAsia="Calibri" w:hAnsi="Palatino Linotype" w:cs="Arial"/>
          <w:sz w:val="8"/>
          <w:szCs w:val="8"/>
        </w:rPr>
      </w:pPr>
    </w:p>
    <w:p w:rsidR="00A517EA" w:rsidRPr="00535456" w:rsidRDefault="00A517EA" w:rsidP="00992FFB">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D8B" w:rsidRDefault="00072D8B" w:rsidP="00DB3A83">
      <w:r>
        <w:separator/>
      </w:r>
    </w:p>
  </w:endnote>
  <w:endnote w:type="continuationSeparator" w:id="0">
    <w:p w:rsidR="00072D8B" w:rsidRDefault="00072D8B"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967579" w:rsidRDefault="00967579"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30029">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30029">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D8B" w:rsidRDefault="00072D8B" w:rsidP="00DB3A83">
      <w:r>
        <w:separator/>
      </w:r>
    </w:p>
  </w:footnote>
  <w:footnote w:type="continuationSeparator" w:id="0">
    <w:p w:rsidR="00072D8B" w:rsidRDefault="00072D8B"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967579"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967579"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967579"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04594</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630029"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20.45pt;height:87.2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2D8B"/>
    <w:rsid w:val="00075C02"/>
    <w:rsid w:val="00085DC0"/>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7730C"/>
    <w:rsid w:val="00387039"/>
    <w:rsid w:val="0039638A"/>
    <w:rsid w:val="003A6BF6"/>
    <w:rsid w:val="003A742A"/>
    <w:rsid w:val="003B0314"/>
    <w:rsid w:val="003C2F6A"/>
    <w:rsid w:val="003C5476"/>
    <w:rsid w:val="003F730A"/>
    <w:rsid w:val="00403656"/>
    <w:rsid w:val="004275EC"/>
    <w:rsid w:val="00437359"/>
    <w:rsid w:val="0044438B"/>
    <w:rsid w:val="00445701"/>
    <w:rsid w:val="00460F1A"/>
    <w:rsid w:val="00464124"/>
    <w:rsid w:val="00474B93"/>
    <w:rsid w:val="00487B66"/>
    <w:rsid w:val="004B5C25"/>
    <w:rsid w:val="004B6DDA"/>
    <w:rsid w:val="004D5015"/>
    <w:rsid w:val="005124B3"/>
    <w:rsid w:val="00522F0D"/>
    <w:rsid w:val="0053148C"/>
    <w:rsid w:val="00535456"/>
    <w:rsid w:val="00536147"/>
    <w:rsid w:val="00553BC6"/>
    <w:rsid w:val="0057297A"/>
    <w:rsid w:val="00584608"/>
    <w:rsid w:val="005A4D7F"/>
    <w:rsid w:val="005B3099"/>
    <w:rsid w:val="005E5BA4"/>
    <w:rsid w:val="00623D4F"/>
    <w:rsid w:val="00630029"/>
    <w:rsid w:val="00631C0B"/>
    <w:rsid w:val="00637BC8"/>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608D4"/>
    <w:rsid w:val="00960ACD"/>
    <w:rsid w:val="00962C2E"/>
    <w:rsid w:val="00967579"/>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95F70"/>
    <w:rsid w:val="00A96975"/>
    <w:rsid w:val="00AA09B9"/>
    <w:rsid w:val="00AA7C2A"/>
    <w:rsid w:val="00AC2253"/>
    <w:rsid w:val="00AF01BA"/>
    <w:rsid w:val="00AF0B17"/>
    <w:rsid w:val="00B12945"/>
    <w:rsid w:val="00B30650"/>
    <w:rsid w:val="00B40C46"/>
    <w:rsid w:val="00B54CD0"/>
    <w:rsid w:val="00B6126C"/>
    <w:rsid w:val="00B756DB"/>
    <w:rsid w:val="00B860BF"/>
    <w:rsid w:val="00B872F3"/>
    <w:rsid w:val="00B90FAF"/>
    <w:rsid w:val="00BB74CD"/>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92479"/>
    <w:rsid w:val="00EA42ED"/>
    <w:rsid w:val="00EB1D9E"/>
    <w:rsid w:val="00EE5465"/>
    <w:rsid w:val="00EF530D"/>
    <w:rsid w:val="00F054F8"/>
    <w:rsid w:val="00F10238"/>
    <w:rsid w:val="00F2362C"/>
    <w:rsid w:val="00F332D0"/>
    <w:rsid w:val="00F33B5B"/>
    <w:rsid w:val="00F37E80"/>
    <w:rsid w:val="00F441FF"/>
    <w:rsid w:val="00F51491"/>
    <w:rsid w:val="00F579EE"/>
    <w:rsid w:val="00F64CC1"/>
    <w:rsid w:val="00F65BE7"/>
    <w:rsid w:val="00F733A3"/>
    <w:rsid w:val="00F91A7F"/>
    <w:rsid w:val="00FA0BF5"/>
    <w:rsid w:val="00FA1193"/>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A854-B162-43EE-91E4-00801C20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3018</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9</cp:revision>
  <cp:lastPrinted>2019-02-28T17:56:00Z</cp:lastPrinted>
  <dcterms:created xsi:type="dcterms:W3CDTF">2019-02-28T18:54:00Z</dcterms:created>
  <dcterms:modified xsi:type="dcterms:W3CDTF">2019-03-15T00:51:00Z</dcterms:modified>
</cp:coreProperties>
</file>